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Padituri: _________________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</w:rPr>
        <w:t xml:space="preserve">___________,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 për refuzimin e kompensimit material për personat e verbër në kategorinë e parë me numër___________ </w:t>
      </w:r>
      <w:r>
        <w:rPr>
          <w:rFonts w:ascii="'Times New Roman'" w:hAnsi="'Times New Roman'" w:eastAsia="'Times New Roman'" w:cs="'Times New Roman'"/>
        </w:rPr>
        <w:t xml:space="preserve">, i datës ______ </w:t>
      </w:r>
      <w:r>
        <w:rPr>
          <w:rFonts w:ascii="'Times New Roman'" w:hAnsi="'Times New Roman'" w:eastAsia="'Times New Roman'" w:cs="'Times New Roman'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Kundër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Vendimit për refuzimin e kompensimit material për personat e verbër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për konfliktin administrativ paraqitet brenda afatit ligjor dhe duke u bazuar në nenin 13, paragrafi 2 i Ligjit Nr. 03/L-202 për Konfliktet Administrative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 vazhdim “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LKA</w:t>
      </w:r>
      <w:r>
        <w:rPr>
          <w:rFonts w:ascii="'Times New Roman'" w:hAnsi="'Times New Roman'" w:eastAsia="'Times New Roman'" w:cs="'Times New Roman'"/>
        </w:rPr>
        <w:t xml:space="preserve">”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që parasheh se konflikti administrativ mund të fillohet edhe kundër aktit administrative të shkallës së parë, kundër të cilit në procedurën administrative ankimi nuk ëshët i lejuar; nenin 26, paragrafi 1 dhe 2.1 LKA që parashohin se me padi për konfliktin administrativ mund të kërkohet anulimi apo shpallja e pavlefshme e aktit të kontestuar; në përputhje me nenin 19 të Ligjit nr. 04/L-092 për personat e verbër, si dhe në përputhje me këshillën juridike të Vendimit të Kontestuar. Vendimi i Kontestuar është pranuar nga paditësi më datë 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PASQYRA FAKTIKE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>
        <w:jc w:val="both"/>
      </w:pP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 për refuzimin e kompensimit material për personat e verbër në kategorinë e parë është i padrejtë dhe nuk është në përputhje me ligjin dhe rregulloret përkatëse.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adia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aditësit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kundër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ANULOHET: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Vendimi për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i lëshuar nga 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;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2025-11-27T20:34:00+00:00</dcterms:created>
  <dcterms:modified xsi:type="dcterms:W3CDTF">2025-11-27T20:34:00+00:00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